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5D95A" w14:textId="77777777" w:rsidR="00D12223" w:rsidRDefault="00000000">
      <w:pPr>
        <w:jc w:val="center"/>
      </w:pPr>
      <w:r>
        <w:rPr>
          <w:noProof/>
        </w:rPr>
        <mc:AlternateContent>
          <mc:Choice Requires="wps">
            <w:drawing>
              <wp:inline distT="0" distB="0" distL="0" distR="0" wp14:anchorId="0227A1FC" wp14:editId="457DFA2B">
                <wp:extent cx="5819775" cy="409575"/>
                <wp:effectExtent l="0" t="0" r="0" b="0"/>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19775" cy="409575"/>
                        </a:xfrm>
                        <a:prstGeom prst="rect">
                          <a:avLst/>
                        </a:prstGeom>
                      </wps:spPr>
                      <wps:txbx>
                        <w:txbxContent>
                          <w:p w14:paraId="0C595A1B" w14:textId="77777777" w:rsidR="00D12223" w:rsidRDefault="00000000">
                            <w:pPr>
                              <w:pStyle w:val="a5"/>
                              <w:spacing w:beforeAutospacing="0" w:afterAutospacing="0" w:line="700" w:lineRule="atLeast"/>
                              <w:jc w:val="center"/>
                            </w:pPr>
                            <w:r>
                              <w:rPr>
                                <w:rFonts w:hint="eastAsia"/>
                                <w:b/>
                                <w:bCs/>
                                <w:color w:val="FF0000"/>
                                <w:sz w:val="56"/>
                                <w:szCs w:val="56"/>
                                <w14:textOutline w14:w="9525" w14:cap="flat" w14:cmpd="sng" w14:algn="ctr">
                                  <w14:solidFill>
                                    <w14:srgbClr w14:val="FF0000"/>
                                  </w14:solidFill>
                                  <w14:prstDash w14:val="solid"/>
                                  <w14:round/>
                                </w14:textOutline>
                              </w:rPr>
                              <w:t>广东省高等教育学会民办高等教育专业委员会</w:t>
                            </w:r>
                          </w:p>
                        </w:txbxContent>
                      </wps:txbx>
                      <wps:bodyPr wrap="square" numCol="1" fromWordArt="1">
                        <a:prstTxWarp prst="textPlain">
                          <a:avLst>
                            <a:gd name="adj" fmla="val 50000"/>
                          </a:avLst>
                        </a:prstTxWarp>
                        <a:spAutoFit/>
                      </wps:bodyPr>
                    </wps:wsp>
                  </a:graphicData>
                </a:graphic>
              </wp:inline>
            </w:drawing>
          </mc:Choice>
          <mc:Fallback>
            <w:pict>
              <v:shapetype w14:anchorId="0227A1FC" id="_x0000_t202" coordsize="21600,21600" o:spt="202" path="m,l,21600r21600,l21600,xe">
                <v:stroke joinstyle="miter"/>
                <v:path gradientshapeok="t" o:connecttype="rect"/>
              </v:shapetype>
              <v:shape id="WordArt 1" o:spid="_x0000_s1026" type="#_x0000_t202" style="width:458.2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" filled="f" stroked="f">
                <o:lock v:ext="edit" shapetype="t"/>
                <v:textbox style="mso-fit-shape-to-text:t">
                  <w:txbxContent>
                    <w:p w14:paraId="0C595A1B" w14:textId="77777777" w:rsidR="00D12223" w:rsidRDefault="00000000">
                      <w:pPr>
                        <w:pStyle w:val="a5"/>
                        <w:spacing w:beforeAutospacing="0" w:afterAutospacing="0" w:line="700" w:lineRule="atLeast"/>
                        <w:jc w:val="center"/>
                      </w:pPr>
                      <w:r>
                        <w:rPr>
                          <w:rFonts w:hint="eastAsia"/>
                          <w:b/>
                          <w:bCs/>
                          <w:color w:val="FF0000"/>
                          <w:sz w:val="56"/>
                          <w:szCs w:val="56"/>
                          <w14:textOutline w14:w="9525" w14:cap="flat" w14:cmpd="sng" w14:algn="ctr">
                            <w14:solidFill>
                              <w14:srgbClr w14:val="FF0000"/>
                            </w14:solidFill>
                            <w14:prstDash w14:val="solid"/>
                            <w14:round/>
                          </w14:textOutline>
                        </w:rPr>
                        <w:t>广东省高等教育学会民办高等教育专业委员会</w:t>
                      </w:r>
                    </w:p>
                  </w:txbxContent>
                </v:textbox>
                <w10:anchorlock/>
              </v:shape>
            </w:pict>
          </mc:Fallback>
        </mc:AlternateContent>
      </w:r>
    </w:p>
    <w:p w14:paraId="4E601D72" w14:textId="77777777" w:rsidR="00D12223" w:rsidRDefault="00000000">
      <w:pPr>
        <w:spacing w:line="230" w:lineRule="exact"/>
        <w:jc w:val="center"/>
        <w:rPr>
          <w:rFonts w:ascii="楷体" w:eastAsia="楷体" w:hAnsi="楷体"/>
        </w:rPr>
      </w:pPr>
      <w:r>
        <w:rPr>
          <w:rFonts w:ascii="楷体" w:eastAsia="楷体" w:hAnsi="楷体"/>
          <w:noProof/>
        </w:rPr>
        <mc:AlternateContent>
          <mc:Choice Requires="wps">
            <w:drawing>
              <wp:anchor distT="0" distB="0" distL="114300" distR="114300" simplePos="0" relativeHeight="251661312" behindDoc="0" locked="0" layoutInCell="1" allowOverlap="1" wp14:anchorId="0CF31141" wp14:editId="63E9959F">
                <wp:simplePos x="0" y="0"/>
                <wp:positionH relativeFrom="column">
                  <wp:posOffset>1270</wp:posOffset>
                </wp:positionH>
                <wp:positionV relativeFrom="paragraph">
                  <wp:posOffset>75565</wp:posOffset>
                </wp:positionV>
                <wp:extent cx="5772150" cy="0"/>
                <wp:effectExtent l="0" t="15875" r="0" b="22225"/>
                <wp:wrapNone/>
                <wp:docPr id="2" name="自选图形 3"/>
                <wp:cNvGraphicFramePr/>
                <a:graphic xmlns:a="http://schemas.openxmlformats.org/drawingml/2006/main">
                  <a:graphicData uri="http://schemas.microsoft.com/office/word/2010/wordprocessingShape">
                    <wps:wsp>
                      <wps:cNvCnPr/>
                      <wps:spPr>
                        <a:xfrm flipH="1">
                          <a:off x="0" y="0"/>
                          <a:ext cx="5772150" cy="0"/>
                        </a:xfrm>
                        <a:prstGeom prst="straightConnector1">
                          <a:avLst/>
                        </a:prstGeom>
                        <a:ln w="31750" cap="flat" cmpd="sng">
                          <a:solidFill>
                            <a:srgbClr val="FF0000"/>
                          </a:solidFill>
                          <a:prstDash val="solid"/>
                          <a:headEnd type="none" w="med" len="med"/>
                          <a:tailEnd type="none" w="med" len="med"/>
                        </a:ln>
                      </wps:spPr>
                      <wps:bodyPr/>
                    </wps:wsp>
                  </a:graphicData>
                </a:graphic>
              </wp:anchor>
            </w:drawing>
          </mc:Choice>
          <mc:Fallback>
            <w:pict>
              <v:shapetype w14:anchorId="1437E1EB" id="_x0000_t32" coordsize="21600,21600" o:spt="32" o:oned="t" path="m,l21600,21600e" filled="f">
                <v:path arrowok="t" fillok="f" o:connecttype="none"/>
                <o:lock v:ext="edit" shapetype="t"/>
              </v:shapetype>
              <v:shape id="自选图形 3" o:spid="_x0000_s1026" type="#_x0000_t32" style="position:absolute;left:0;text-align:left;margin-left:.1pt;margin-top:5.95pt;width:454.5pt;height: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" strokecolor="red" strokeweight="2.5pt"/>
            </w:pict>
          </mc:Fallback>
        </mc:AlternateContent>
      </w:r>
    </w:p>
    <w:p w14:paraId="585690C1" w14:textId="77777777" w:rsidR="00D12223" w:rsidRDefault="00D12223">
      <w:pPr>
        <w:spacing w:line="230" w:lineRule="exact"/>
        <w:jc w:val="center"/>
        <w:rPr>
          <w:rFonts w:ascii="楷体" w:eastAsia="楷体" w:hAnsi="楷体"/>
        </w:rPr>
      </w:pPr>
    </w:p>
    <w:p w14:paraId="0BFC1D00" w14:textId="77777777" w:rsidR="00D12223" w:rsidRDefault="00000000">
      <w:pPr>
        <w:widowControl/>
        <w:shd w:val="clear" w:color="auto" w:fill="FFFFFF"/>
        <w:spacing w:line="600" w:lineRule="exact"/>
        <w:jc w:val="center"/>
        <w:rPr>
          <w:rFonts w:ascii="方正小标宋简体" w:eastAsia="方正小标宋简体" w:hAnsi="Times New Roman" w:cs="Times New Roman"/>
          <w:bCs/>
          <w:kern w:val="0"/>
          <w:sz w:val="44"/>
          <w:szCs w:val="44"/>
        </w:rPr>
      </w:pPr>
      <w:r>
        <w:rPr>
          <w:rFonts w:ascii="方正小标宋简体" w:eastAsia="方正小标宋简体" w:hAnsi="Times New Roman" w:cs="Times New Roman" w:hint="eastAsia"/>
          <w:bCs/>
          <w:spacing w:val="-20"/>
          <w:kern w:val="0"/>
          <w:sz w:val="44"/>
          <w:szCs w:val="44"/>
        </w:rPr>
        <w:t>关于公布广东省高等教育学会民办高等教育专业委员会2022年度研究课题立项结果的通知</w:t>
      </w:r>
    </w:p>
    <w:p w14:paraId="61F13727" w14:textId="77777777" w:rsidR="00D12223" w:rsidRDefault="00D12223">
      <w:pPr>
        <w:widowControl/>
        <w:shd w:val="clear" w:color="auto" w:fill="FFFFFF"/>
        <w:spacing w:line="560" w:lineRule="exact"/>
        <w:ind w:leftChars="304" w:left="1598" w:hangingChars="300" w:hanging="960"/>
        <w:rPr>
          <w:rFonts w:ascii="仿宋_GB2312" w:eastAsia="仿宋_GB2312" w:hAnsi="仿宋" w:cs="Calibri"/>
          <w:kern w:val="0"/>
          <w:sz w:val="32"/>
          <w:szCs w:val="32"/>
        </w:rPr>
      </w:pPr>
    </w:p>
    <w:p w14:paraId="7DDDCF2C" w14:textId="77777777" w:rsidR="00D12223" w:rsidRDefault="00000000">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根据《关于组织开展广东省高等教育学会民办高等教育专业委员会</w:t>
      </w:r>
      <w:r>
        <w:rPr>
          <w:rFonts w:ascii="Times New Roman" w:eastAsia="仿宋_GB2312" w:hAnsi="Times New Roman" w:cs="Times New Roman" w:hint="eastAsia"/>
          <w:kern w:val="0"/>
          <w:sz w:val="32"/>
          <w:szCs w:val="32"/>
        </w:rPr>
        <w:t>2022</w:t>
      </w:r>
      <w:r>
        <w:rPr>
          <w:rFonts w:ascii="Times New Roman" w:eastAsia="仿宋_GB2312" w:hAnsi="Times New Roman" w:cs="Times New Roman" w:hint="eastAsia"/>
          <w:kern w:val="0"/>
          <w:sz w:val="32"/>
          <w:szCs w:val="32"/>
        </w:rPr>
        <w:t>年度课题申报工作的通知》，经项目申报、形式审查、专家评审、立项公示等程序，专委会决定对</w:t>
      </w:r>
      <w:r>
        <w:rPr>
          <w:rFonts w:ascii="Times New Roman" w:eastAsia="仿宋_GB2312" w:hAnsi="Times New Roman" w:cs="Times New Roman" w:hint="eastAsia"/>
          <w:kern w:val="0"/>
          <w:sz w:val="32"/>
          <w:szCs w:val="32"/>
        </w:rPr>
        <w:t>94</w:t>
      </w:r>
      <w:r>
        <w:rPr>
          <w:rFonts w:ascii="Times New Roman" w:eastAsia="仿宋_GB2312" w:hAnsi="Times New Roman" w:cs="Times New Roman" w:hint="eastAsia"/>
          <w:kern w:val="0"/>
          <w:sz w:val="32"/>
          <w:szCs w:val="32"/>
        </w:rPr>
        <w:t>个项目予以立项（详见附件</w:t>
      </w: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）。现将有关事项通知如下：</w:t>
      </w:r>
    </w:p>
    <w:p w14:paraId="10D73AF9" w14:textId="77777777" w:rsidR="00954ABF" w:rsidRDefault="00000000">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接此通知后，各项目单位应做好项目组织实施和管理工作，确保按期</w:t>
      </w:r>
      <w:r w:rsidR="00F12EDF">
        <w:rPr>
          <w:rFonts w:ascii="Times New Roman" w:eastAsia="仿宋_GB2312" w:hAnsi="Times New Roman" w:cs="Times New Roman" w:hint="eastAsia"/>
          <w:kern w:val="0"/>
          <w:sz w:val="32"/>
          <w:szCs w:val="32"/>
        </w:rPr>
        <w:t>达</w:t>
      </w:r>
      <w:r>
        <w:rPr>
          <w:rFonts w:ascii="Times New Roman" w:eastAsia="仿宋_GB2312" w:hAnsi="Times New Roman" w:cs="Times New Roman" w:hint="eastAsia"/>
          <w:kern w:val="0"/>
          <w:sz w:val="32"/>
          <w:szCs w:val="32"/>
        </w:rPr>
        <w:t>成项目研究目标</w:t>
      </w:r>
      <w:r w:rsidR="00F12EDF">
        <w:rPr>
          <w:rFonts w:ascii="Times New Roman" w:eastAsia="仿宋_GB2312" w:hAnsi="Times New Roman" w:cs="Times New Roman" w:hint="eastAsia"/>
          <w:kern w:val="0"/>
          <w:sz w:val="32"/>
          <w:szCs w:val="32"/>
        </w:rPr>
        <w:t>任务</w:t>
      </w:r>
      <w:r>
        <w:rPr>
          <w:rFonts w:ascii="Times New Roman" w:eastAsia="仿宋_GB2312" w:hAnsi="Times New Roman" w:cs="Times New Roman" w:hint="eastAsia"/>
          <w:kern w:val="0"/>
          <w:sz w:val="32"/>
          <w:szCs w:val="32"/>
        </w:rPr>
        <w:t>。</w:t>
      </w:r>
    </w:p>
    <w:p w14:paraId="4161BC6D" w14:textId="295836F4" w:rsidR="00D12223" w:rsidRDefault="00954ABF">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w:t>
      </w:r>
      <w:r w:rsidR="00000000">
        <w:rPr>
          <w:rFonts w:ascii="Times New Roman" w:eastAsia="仿宋_GB2312" w:hAnsi="Times New Roman" w:cs="Times New Roman" w:hint="eastAsia"/>
          <w:kern w:val="0"/>
          <w:sz w:val="32"/>
          <w:szCs w:val="32"/>
        </w:rPr>
        <w:t>请</w:t>
      </w:r>
      <w:r>
        <w:rPr>
          <w:rFonts w:ascii="Times New Roman" w:eastAsia="仿宋_GB2312" w:hAnsi="Times New Roman" w:cs="Times New Roman" w:hint="eastAsia"/>
          <w:kern w:val="0"/>
          <w:sz w:val="32"/>
          <w:szCs w:val="32"/>
        </w:rPr>
        <w:t>各项目单位</w:t>
      </w:r>
      <w:r w:rsidR="00000000">
        <w:rPr>
          <w:rFonts w:ascii="Times New Roman" w:eastAsia="仿宋_GB2312" w:hAnsi="Times New Roman" w:cs="Times New Roman" w:hint="eastAsia"/>
          <w:kern w:val="0"/>
          <w:sz w:val="32"/>
          <w:szCs w:val="32"/>
        </w:rPr>
        <w:t>于</w:t>
      </w:r>
      <w:r w:rsidR="00000000">
        <w:rPr>
          <w:rFonts w:ascii="Times New Roman" w:eastAsia="仿宋_GB2312" w:hAnsi="Times New Roman" w:cs="Times New Roman" w:hint="eastAsia"/>
          <w:kern w:val="0"/>
          <w:sz w:val="32"/>
          <w:szCs w:val="32"/>
        </w:rPr>
        <w:t>2023</w:t>
      </w:r>
      <w:r w:rsidR="00000000">
        <w:rPr>
          <w:rFonts w:ascii="Times New Roman" w:eastAsia="仿宋_GB2312" w:hAnsi="Times New Roman" w:cs="Times New Roman" w:hint="eastAsia"/>
          <w:kern w:val="0"/>
          <w:sz w:val="32"/>
          <w:szCs w:val="32"/>
        </w:rPr>
        <w:t>年</w:t>
      </w:r>
      <w:r w:rsidR="00000000">
        <w:rPr>
          <w:rFonts w:ascii="Times New Roman" w:eastAsia="仿宋_GB2312" w:hAnsi="Times New Roman" w:cs="Times New Roman" w:hint="eastAsia"/>
          <w:kern w:val="0"/>
          <w:sz w:val="32"/>
          <w:szCs w:val="32"/>
        </w:rPr>
        <w:t>4</w:t>
      </w:r>
      <w:r w:rsidR="00000000">
        <w:rPr>
          <w:rFonts w:ascii="Times New Roman" w:eastAsia="仿宋_GB2312" w:hAnsi="Times New Roman" w:cs="Times New Roman" w:hint="eastAsia"/>
          <w:kern w:val="0"/>
          <w:sz w:val="32"/>
          <w:szCs w:val="32"/>
        </w:rPr>
        <w:t>月</w:t>
      </w:r>
      <w:r w:rsidR="00000000">
        <w:rPr>
          <w:rFonts w:ascii="Times New Roman" w:eastAsia="仿宋_GB2312" w:hAnsi="Times New Roman" w:cs="Times New Roman" w:hint="eastAsia"/>
          <w:kern w:val="0"/>
          <w:sz w:val="32"/>
          <w:szCs w:val="32"/>
        </w:rPr>
        <w:t>30</w:t>
      </w:r>
      <w:r w:rsidR="00000000">
        <w:rPr>
          <w:rFonts w:ascii="Times New Roman" w:eastAsia="仿宋_GB2312" w:hAnsi="Times New Roman" w:cs="Times New Roman" w:hint="eastAsia"/>
          <w:kern w:val="0"/>
          <w:sz w:val="32"/>
          <w:szCs w:val="32"/>
        </w:rPr>
        <w:t>日前组织完成开题评审工作，并将</w:t>
      </w:r>
      <w:r w:rsidR="00F12EDF">
        <w:rPr>
          <w:rFonts w:ascii="Times New Roman" w:eastAsia="仿宋_GB2312" w:hAnsi="Times New Roman" w:cs="Times New Roman" w:hint="eastAsia"/>
          <w:kern w:val="0"/>
          <w:sz w:val="32"/>
          <w:szCs w:val="32"/>
        </w:rPr>
        <w:t>填写好的</w:t>
      </w:r>
      <w:r w:rsidR="00000000">
        <w:rPr>
          <w:rFonts w:ascii="Times New Roman" w:eastAsia="仿宋_GB2312" w:hAnsi="Times New Roman" w:cs="Times New Roman" w:hint="eastAsia"/>
          <w:kern w:val="0"/>
          <w:sz w:val="32"/>
          <w:szCs w:val="32"/>
        </w:rPr>
        <w:t>开题报告书纸质版邮寄至</w:t>
      </w:r>
      <w:r w:rsidR="00F12EDF">
        <w:rPr>
          <w:rFonts w:ascii="Times New Roman" w:eastAsia="仿宋_GB2312" w:hAnsi="Times New Roman" w:cs="Times New Roman" w:hint="eastAsia"/>
          <w:kern w:val="0"/>
          <w:sz w:val="32"/>
          <w:szCs w:val="32"/>
        </w:rPr>
        <w:t>专委会</w:t>
      </w:r>
      <w:r w:rsidR="00000000">
        <w:rPr>
          <w:rFonts w:ascii="Times New Roman" w:eastAsia="仿宋_GB2312" w:hAnsi="Times New Roman" w:cs="Times New Roman" w:hint="eastAsia"/>
          <w:kern w:val="0"/>
          <w:sz w:val="32"/>
          <w:szCs w:val="32"/>
        </w:rPr>
        <w:t>秘书处，盖章电子版发送至邮箱</w:t>
      </w:r>
      <w:r w:rsidR="00000000">
        <w:rPr>
          <w:rFonts w:ascii="Times New Roman" w:eastAsia="仿宋_GB2312" w:hAnsi="Times New Roman" w:cs="Times New Roman" w:hint="eastAsia"/>
          <w:kern w:val="0"/>
          <w:sz w:val="32"/>
          <w:szCs w:val="32"/>
        </w:rPr>
        <w:t>1272701440@qq.com</w:t>
      </w:r>
      <w:r w:rsidR="00000000">
        <w:rPr>
          <w:rFonts w:ascii="Times New Roman" w:eastAsia="仿宋_GB2312" w:hAnsi="Times New Roman" w:cs="Times New Roman" w:hint="eastAsia"/>
          <w:kern w:val="0"/>
          <w:sz w:val="32"/>
          <w:szCs w:val="32"/>
        </w:rPr>
        <w:t>。</w:t>
      </w:r>
    </w:p>
    <w:p w14:paraId="5D867BBC" w14:textId="2E3A9309" w:rsidR="00D12223" w:rsidRDefault="00954ABF">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3</w:t>
      </w:r>
      <w:r w:rsidR="00000000">
        <w:rPr>
          <w:rFonts w:ascii="Times New Roman" w:eastAsia="仿宋_GB2312" w:hAnsi="Times New Roman" w:cs="Times New Roman" w:hint="eastAsia"/>
          <w:kern w:val="0"/>
          <w:sz w:val="32"/>
          <w:szCs w:val="32"/>
        </w:rPr>
        <w:t>.</w:t>
      </w:r>
      <w:r w:rsidR="00000000">
        <w:rPr>
          <w:rFonts w:ascii="Times New Roman" w:eastAsia="仿宋_GB2312" w:hAnsi="Times New Roman" w:cs="Times New Roman" w:hint="eastAsia"/>
          <w:kern w:val="0"/>
          <w:sz w:val="32"/>
          <w:szCs w:val="32"/>
        </w:rPr>
        <w:t>本年度项目研究完成期限为</w:t>
      </w:r>
      <w:r w:rsidR="00000000">
        <w:rPr>
          <w:rFonts w:ascii="Times New Roman" w:eastAsia="仿宋_GB2312" w:hAnsi="Times New Roman" w:cs="Times New Roman" w:hint="eastAsia"/>
          <w:kern w:val="0"/>
          <w:sz w:val="32"/>
          <w:szCs w:val="32"/>
        </w:rPr>
        <w:t>1</w:t>
      </w:r>
      <w:r w:rsidR="00000000">
        <w:rPr>
          <w:rFonts w:ascii="Times New Roman" w:eastAsia="仿宋_GB2312" w:hAnsi="Times New Roman" w:cs="Times New Roman" w:hint="eastAsia"/>
          <w:kern w:val="0"/>
          <w:sz w:val="32"/>
          <w:szCs w:val="32"/>
        </w:rPr>
        <w:t>年，研究期限自课题批准立项之日起计。</w:t>
      </w:r>
    </w:p>
    <w:p w14:paraId="0B45C8D8" w14:textId="77777777" w:rsidR="00D12223" w:rsidRDefault="00D12223">
      <w:pPr>
        <w:spacing w:line="560" w:lineRule="exact"/>
        <w:ind w:firstLineChars="200" w:firstLine="640"/>
        <w:rPr>
          <w:rFonts w:ascii="Times New Roman" w:eastAsia="仿宋_GB2312" w:hAnsi="Times New Roman" w:cs="Times New Roman"/>
          <w:kern w:val="0"/>
          <w:sz w:val="32"/>
          <w:szCs w:val="32"/>
        </w:rPr>
      </w:pPr>
    </w:p>
    <w:p w14:paraId="2D3B8752" w14:textId="5554EBF9" w:rsidR="00D12223" w:rsidRDefault="00954ABF" w:rsidP="00954ABF">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w:t>
      </w:r>
      <w:r w:rsidR="00F12EDF">
        <w:rPr>
          <w:rFonts w:ascii="Times New Roman" w:eastAsia="仿宋_GB2312" w:hAnsi="Times New Roman" w:cs="Times New Roman" w:hint="eastAsia"/>
          <w:kern w:val="0"/>
          <w:sz w:val="32"/>
          <w:szCs w:val="32"/>
        </w:rPr>
        <w:t>联系地址：广州市白云区钟落潭镇九佛西路</w:t>
      </w:r>
      <w:r w:rsidR="00F12EDF">
        <w:rPr>
          <w:rFonts w:ascii="Times New Roman" w:eastAsia="仿宋_GB2312" w:hAnsi="Times New Roman" w:cs="Times New Roman" w:hint="eastAsia"/>
          <w:kern w:val="0"/>
          <w:sz w:val="32"/>
          <w:szCs w:val="32"/>
        </w:rPr>
        <w:t>280</w:t>
      </w:r>
      <w:r w:rsidR="00F12EDF">
        <w:rPr>
          <w:rFonts w:ascii="Times New Roman" w:eastAsia="仿宋_GB2312" w:hAnsi="Times New Roman" w:cs="Times New Roman" w:hint="eastAsia"/>
          <w:kern w:val="0"/>
          <w:sz w:val="32"/>
          <w:szCs w:val="32"/>
        </w:rPr>
        <w:t>号广东省高等教育学会民办高等教育专业委员会秘书处</w:t>
      </w:r>
      <w:r>
        <w:rPr>
          <w:rFonts w:ascii="Times New Roman" w:eastAsia="仿宋_GB2312" w:hAnsi="Times New Roman" w:cs="Times New Roman" w:hint="eastAsia"/>
          <w:kern w:val="0"/>
          <w:sz w:val="32"/>
          <w:szCs w:val="32"/>
        </w:rPr>
        <w:t>，</w:t>
      </w:r>
      <w:r w:rsidR="00000000">
        <w:rPr>
          <w:rFonts w:ascii="Times New Roman" w:eastAsia="仿宋_GB2312" w:hAnsi="Times New Roman" w:cs="Times New Roman" w:hint="eastAsia"/>
          <w:kern w:val="0"/>
          <w:sz w:val="32"/>
          <w:szCs w:val="32"/>
        </w:rPr>
        <w:t>联系人：辜老师</w:t>
      </w:r>
      <w:r>
        <w:rPr>
          <w:rFonts w:ascii="Times New Roman" w:eastAsia="仿宋_GB2312" w:hAnsi="Times New Roman" w:cs="Times New Roman" w:hint="eastAsia"/>
          <w:kern w:val="0"/>
          <w:sz w:val="32"/>
          <w:szCs w:val="32"/>
        </w:rPr>
        <w:t>，</w:t>
      </w:r>
      <w:r w:rsidR="00000000">
        <w:rPr>
          <w:rFonts w:ascii="Times New Roman" w:eastAsia="仿宋_GB2312" w:hAnsi="Times New Roman" w:cs="Times New Roman" w:hint="eastAsia"/>
          <w:kern w:val="0"/>
          <w:sz w:val="32"/>
          <w:szCs w:val="32"/>
        </w:rPr>
        <w:t>邮编：</w:t>
      </w:r>
      <w:r w:rsidR="00000000">
        <w:rPr>
          <w:rFonts w:ascii="Times New Roman" w:eastAsia="仿宋_GB2312" w:hAnsi="Times New Roman" w:cs="Times New Roman" w:hint="eastAsia"/>
          <w:kern w:val="0"/>
          <w:sz w:val="32"/>
          <w:szCs w:val="32"/>
        </w:rPr>
        <w:t>510450</w:t>
      </w:r>
      <w:r>
        <w:rPr>
          <w:rFonts w:ascii="Times New Roman" w:eastAsia="仿宋_GB2312" w:hAnsi="Times New Roman" w:cs="Times New Roman" w:hint="eastAsia"/>
          <w:kern w:val="0"/>
          <w:sz w:val="32"/>
          <w:szCs w:val="32"/>
        </w:rPr>
        <w:t>，电话</w:t>
      </w:r>
      <w:r w:rsidR="00000000">
        <w:rPr>
          <w:rFonts w:ascii="Times New Roman" w:eastAsia="仿宋_GB2312" w:hAnsi="Times New Roman" w:cs="Times New Roman" w:hint="eastAsia"/>
          <w:kern w:val="0"/>
          <w:sz w:val="32"/>
          <w:szCs w:val="32"/>
        </w:rPr>
        <w:t>：</w:t>
      </w:r>
      <w:r w:rsidR="00000000">
        <w:rPr>
          <w:rFonts w:ascii="Times New Roman" w:eastAsia="仿宋_GB2312" w:hAnsi="Times New Roman" w:cs="Times New Roman" w:hint="eastAsia"/>
          <w:kern w:val="0"/>
          <w:sz w:val="32"/>
          <w:szCs w:val="32"/>
        </w:rPr>
        <w:t>020</w:t>
      </w:r>
      <w:r w:rsidR="00000000">
        <w:rPr>
          <w:rFonts w:ascii="Times New Roman" w:eastAsia="仿宋_GB2312" w:hAnsi="Times New Roman" w:cs="Times New Roman" w:hint="eastAsia"/>
          <w:kern w:val="0"/>
          <w:sz w:val="32"/>
          <w:szCs w:val="32"/>
        </w:rPr>
        <w:t>—</w:t>
      </w:r>
      <w:r w:rsidR="00000000">
        <w:rPr>
          <w:rFonts w:ascii="Times New Roman" w:eastAsia="仿宋_GB2312" w:hAnsi="Times New Roman" w:cs="Times New Roman" w:hint="eastAsia"/>
          <w:kern w:val="0"/>
          <w:sz w:val="32"/>
          <w:szCs w:val="32"/>
        </w:rPr>
        <w:t>89913850</w:t>
      </w:r>
      <w:r>
        <w:rPr>
          <w:rFonts w:ascii="Times New Roman" w:eastAsia="仿宋_GB2312" w:hAnsi="Times New Roman" w:cs="Times New Roman" w:hint="eastAsia"/>
          <w:kern w:val="0"/>
          <w:sz w:val="32"/>
          <w:szCs w:val="32"/>
        </w:rPr>
        <w:t>）</w:t>
      </w:r>
    </w:p>
    <w:p w14:paraId="5FC316CD" w14:textId="77777777" w:rsidR="00D12223" w:rsidRDefault="00D12223">
      <w:pPr>
        <w:spacing w:line="560" w:lineRule="exact"/>
        <w:ind w:firstLineChars="200" w:firstLine="640"/>
        <w:rPr>
          <w:rFonts w:ascii="Times New Roman" w:eastAsia="仿宋_GB2312" w:hAnsi="Times New Roman" w:cs="Times New Roman"/>
          <w:kern w:val="0"/>
          <w:sz w:val="32"/>
          <w:szCs w:val="32"/>
        </w:rPr>
      </w:pPr>
    </w:p>
    <w:p w14:paraId="5A4E9149" w14:textId="77777777" w:rsidR="00D12223" w:rsidRDefault="00000000">
      <w:pPr>
        <w:widowControl/>
        <w:shd w:val="clear" w:color="auto" w:fill="FFFFFF"/>
        <w:spacing w:line="560" w:lineRule="exact"/>
        <w:ind w:leftChars="304" w:left="1598" w:hangingChars="300" w:hanging="960"/>
        <w:rPr>
          <w:rFonts w:ascii="仿宋_GB2312" w:eastAsia="仿宋_GB2312" w:hAnsi="仿宋" w:cs="Calibri"/>
          <w:kern w:val="0"/>
          <w:sz w:val="32"/>
          <w:szCs w:val="32"/>
        </w:rPr>
      </w:pPr>
      <w:r>
        <w:rPr>
          <w:rFonts w:ascii="仿宋_GB2312" w:eastAsia="仿宋_GB2312" w:hAnsi="仿宋" w:cs="Calibri" w:hint="eastAsia"/>
          <w:kern w:val="0"/>
          <w:sz w:val="32"/>
          <w:szCs w:val="32"/>
        </w:rPr>
        <w:lastRenderedPageBreak/>
        <w:t>附件：1.广东省高等教育学会民办高等教育专业委员会2022年度研究课题立项名单</w:t>
      </w:r>
    </w:p>
    <w:p w14:paraId="13287D0E" w14:textId="77777777" w:rsidR="00D12223" w:rsidRDefault="00000000">
      <w:pPr>
        <w:widowControl/>
        <w:shd w:val="clear" w:color="auto" w:fill="FFFFFF"/>
        <w:spacing w:line="560" w:lineRule="exact"/>
        <w:ind w:leftChars="304" w:left="1598" w:hangingChars="300" w:hanging="960"/>
        <w:rPr>
          <w:rFonts w:ascii="仿宋_GB2312" w:eastAsia="仿宋_GB2312" w:hAnsi="仿宋" w:cs="Calibri"/>
          <w:kern w:val="0"/>
          <w:sz w:val="32"/>
          <w:szCs w:val="32"/>
        </w:rPr>
      </w:pPr>
      <w:r>
        <w:rPr>
          <w:rFonts w:ascii="仿宋_GB2312" w:eastAsia="仿宋_GB2312" w:hAnsi="仿宋" w:cs="Calibri" w:hint="eastAsia"/>
          <w:kern w:val="0"/>
          <w:sz w:val="32"/>
          <w:szCs w:val="32"/>
        </w:rPr>
        <w:t xml:space="preserve">      2.广东省高等教育学会民办高等教育专业委员会研究课题开题报告书</w:t>
      </w:r>
    </w:p>
    <w:p w14:paraId="13524C45" w14:textId="77777777" w:rsidR="00D12223" w:rsidRDefault="00000000">
      <w:pPr>
        <w:widowControl/>
        <w:shd w:val="clear" w:color="auto" w:fill="FFFFFF"/>
        <w:spacing w:line="560" w:lineRule="exact"/>
        <w:ind w:leftChars="304" w:left="1436" w:hangingChars="300" w:hanging="798"/>
        <w:rPr>
          <w:rFonts w:ascii="Times New Roman" w:eastAsia="仿宋_GB2312" w:hAnsi="Times New Roman" w:cs="Times New Roman"/>
          <w:kern w:val="0"/>
          <w:sz w:val="32"/>
          <w:szCs w:val="32"/>
        </w:rPr>
      </w:pPr>
      <w:r>
        <w:rPr>
          <w:rFonts w:ascii="宋体" w:eastAsia="宋体" w:hAnsi="宋体" w:cs="宋体" w:hint="eastAsia"/>
          <w:color w:val="222222"/>
          <w:spacing w:val="23"/>
          <w:sz w:val="22"/>
          <w:szCs w:val="22"/>
        </w:rPr>
        <w:t> </w:t>
      </w:r>
    </w:p>
    <w:p w14:paraId="57449FCC" w14:textId="77777777" w:rsidR="00D12223" w:rsidRDefault="00D12223">
      <w:pPr>
        <w:pStyle w:val="a5"/>
        <w:widowControl/>
        <w:spacing w:beforeAutospacing="0" w:afterAutospacing="0" w:line="420" w:lineRule="atLeast"/>
        <w:jc w:val="right"/>
        <w:rPr>
          <w:rFonts w:ascii="仿宋_GB2312" w:eastAsia="仿宋_GB2312" w:hAnsi="仿宋" w:cs="Calibri"/>
          <w:sz w:val="32"/>
          <w:szCs w:val="32"/>
        </w:rPr>
      </w:pPr>
    </w:p>
    <w:p w14:paraId="7EB33FCE" w14:textId="77777777" w:rsidR="00D12223" w:rsidRDefault="00000000">
      <w:pPr>
        <w:pStyle w:val="a5"/>
        <w:widowControl/>
        <w:spacing w:beforeAutospacing="0" w:afterAutospacing="0" w:line="420" w:lineRule="atLeast"/>
        <w:jc w:val="right"/>
        <w:rPr>
          <w:rFonts w:ascii="仿宋_GB2312" w:eastAsia="仿宋_GB2312" w:hAnsi="仿宋" w:cs="Calibri"/>
          <w:sz w:val="32"/>
          <w:szCs w:val="32"/>
        </w:rPr>
      </w:pPr>
      <w:r>
        <w:rPr>
          <w:rFonts w:ascii="仿宋_GB2312" w:eastAsia="仿宋_GB2312" w:hAnsi="仿宋" w:cs="Calibri" w:hint="eastAsia"/>
          <w:sz w:val="32"/>
          <w:szCs w:val="32"/>
        </w:rPr>
        <w:t>广东省高等教育学会民办高等教育专业委员会</w:t>
      </w:r>
    </w:p>
    <w:p w14:paraId="3DA3B4DA" w14:textId="77777777" w:rsidR="00D12223" w:rsidRDefault="00000000">
      <w:pPr>
        <w:pStyle w:val="a5"/>
        <w:widowControl/>
        <w:spacing w:beforeAutospacing="0" w:afterAutospacing="0" w:line="420" w:lineRule="atLeast"/>
        <w:ind w:right="1280"/>
        <w:jc w:val="center"/>
        <w:rPr>
          <w:rFonts w:ascii="仿宋_GB2312" w:eastAsia="仿宋_GB2312" w:hAnsi="仿宋" w:cs="Calibri"/>
          <w:sz w:val="32"/>
          <w:szCs w:val="32"/>
        </w:rPr>
      </w:pPr>
      <w:r>
        <w:rPr>
          <w:rFonts w:ascii="仿宋_GB2312" w:eastAsia="仿宋_GB2312" w:hAnsi="仿宋" w:cs="Calibri"/>
          <w:sz w:val="32"/>
          <w:szCs w:val="32"/>
        </w:rPr>
        <w:t xml:space="preserve">                    </w:t>
      </w:r>
      <w:r>
        <w:rPr>
          <w:rFonts w:ascii="仿宋_GB2312" w:eastAsia="仿宋_GB2312" w:hAnsi="仿宋" w:cs="Calibri" w:hint="eastAsia"/>
          <w:sz w:val="32"/>
          <w:szCs w:val="32"/>
        </w:rPr>
        <w:t>2023年3月8日</w:t>
      </w:r>
    </w:p>
    <w:p w14:paraId="4C5DE224" w14:textId="77777777" w:rsidR="00D12223" w:rsidRDefault="00D12223">
      <w:pPr>
        <w:sectPr w:rsidR="00D12223">
          <w:pgSz w:w="11906" w:h="16838"/>
          <w:pgMar w:top="1440" w:right="1576" w:bottom="1440" w:left="1576" w:header="851" w:footer="992" w:gutter="0"/>
          <w:cols w:space="425"/>
          <w:docGrid w:type="lines" w:linePitch="312"/>
        </w:sectPr>
      </w:pPr>
    </w:p>
    <w:p w14:paraId="48B95BD7" w14:textId="77777777" w:rsidR="00D12223" w:rsidRDefault="00000000">
      <w:pPr>
        <w:spacing w:line="560" w:lineRule="exact"/>
        <w:rPr>
          <w:rFonts w:ascii="黑体" w:eastAsia="黑体" w:hAnsi="黑体" w:cs="黑体"/>
          <w:sz w:val="32"/>
        </w:rPr>
      </w:pPr>
      <w:r>
        <w:rPr>
          <w:rFonts w:ascii="黑体" w:eastAsia="黑体" w:hAnsi="黑体" w:cs="黑体" w:hint="eastAsia"/>
          <w:sz w:val="32"/>
        </w:rPr>
        <w:t>附件1</w:t>
      </w:r>
    </w:p>
    <w:p w14:paraId="0A051C01" w14:textId="77777777" w:rsidR="00D12223" w:rsidRDefault="00000000">
      <w:pPr>
        <w:spacing w:line="560" w:lineRule="exact"/>
        <w:jc w:val="center"/>
        <w:rPr>
          <w:rFonts w:ascii="微软雅黑" w:eastAsia="微软雅黑" w:hAnsi="微软雅黑" w:cs="微软雅黑"/>
          <w:sz w:val="28"/>
          <w:szCs w:val="28"/>
        </w:rPr>
      </w:pPr>
      <w:r>
        <w:rPr>
          <w:rFonts w:ascii="微软雅黑" w:eastAsia="微软雅黑" w:hAnsi="微软雅黑" w:cs="微软雅黑" w:hint="eastAsia"/>
          <w:b/>
          <w:bCs/>
          <w:color w:val="000000"/>
          <w:kern w:val="0"/>
          <w:sz w:val="28"/>
          <w:szCs w:val="28"/>
          <w:lang w:bidi="ar"/>
        </w:rPr>
        <w:t>广东省高等教育学会民办高等教育专业委员会2022年度研究课题立项名单</w:t>
      </w:r>
    </w:p>
    <w:tbl>
      <w:tblPr>
        <w:tblW w:w="4996" w:type="pct"/>
        <w:tblLayout w:type="fixed"/>
        <w:tblLook w:val="04A0" w:firstRow="1" w:lastRow="0" w:firstColumn="1" w:lastColumn="0" w:noHBand="0" w:noVBand="1"/>
      </w:tblPr>
      <w:tblGrid>
        <w:gridCol w:w="652"/>
        <w:gridCol w:w="1423"/>
        <w:gridCol w:w="2278"/>
        <w:gridCol w:w="1366"/>
        <w:gridCol w:w="8444"/>
      </w:tblGrid>
      <w:tr w:rsidR="00D12223" w14:paraId="738D9F07"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FFE20"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序号</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4C819"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课题编号</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D42F2"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所在单位</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E1760"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课题负责人</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23B96F"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课题名称</w:t>
            </w:r>
          </w:p>
        </w:tc>
      </w:tr>
      <w:tr w:rsidR="00D12223" w14:paraId="1A5CA3C1"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AC93B"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A68F4F"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2022MBGJ001</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4B05A"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广东创新科技职业学院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E40D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巫红丽</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8A5146"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面向民营中小企业高素质会计人才培养的研究与实践</w:t>
            </w:r>
          </w:p>
        </w:tc>
      </w:tr>
      <w:tr w:rsidR="00D12223" w14:paraId="6C51D026"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2D4DD"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D1380"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2022MBGJ002</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20106"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广东创新科技职业学院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7E0FC1"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王飞</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2F5162"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产教融合背景下广东民办高职院校专业人才培养模式创新研究</w:t>
            </w:r>
          </w:p>
        </w:tc>
      </w:tr>
      <w:tr w:rsidR="00D12223" w14:paraId="313BA0A3"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B40D0"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2317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2022MBGJ003</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0B47D"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广东创新科技职业学院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90ED5"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杨延风</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6AB8AC"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“立德树人”视域下民办高职院校课程思政探索与研究——以《会计信息系统应用》课程为例</w:t>
            </w:r>
          </w:p>
        </w:tc>
      </w:tr>
      <w:tr w:rsidR="00D12223" w14:paraId="65864E5A"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E5452"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5B61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2022MBGJ004</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7643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广东创新科技职业学院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7BDC2F"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林戴嘉</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BAC0E1"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“一核一带一区”民办高职基于教育效率区域差异化的创新型人才培养模式探索</w:t>
            </w:r>
          </w:p>
        </w:tc>
      </w:tr>
      <w:tr w:rsidR="00D12223" w14:paraId="5280035A"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78D1FF"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D14C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2022MBGJ005</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2FAEC"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广东创新科技职业学院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1077A"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王英</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98A1B2"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“大思政课”视域下深化新时代民办高校德育评价改革研究</w:t>
            </w:r>
          </w:p>
        </w:tc>
      </w:tr>
      <w:tr w:rsidR="00D12223" w14:paraId="6507AF88"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D7DCC"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FB660"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2022MBGJ006</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474B6"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广东创新科技职业学院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E634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徐小女</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53699E"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民办高校构建特色教师工作室的研究</w:t>
            </w:r>
          </w:p>
        </w:tc>
      </w:tr>
      <w:tr w:rsidR="00D12223" w14:paraId="76592B17"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5EC2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A104F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2022MBGJ007</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809CA"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广东东软学院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C5BA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李胜珠</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45FF1E"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知情意行视域下民办高校提升课程思政的实效性研究</w:t>
            </w:r>
          </w:p>
        </w:tc>
      </w:tr>
      <w:tr w:rsidR="00D12223" w14:paraId="167FA999"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D701AC"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68081D"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2022MBGJ008</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C183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广东东软学院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94A4C"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郑丽佳</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74236C"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大思政课视域下民办高校思政课“微项目化”研究</w:t>
            </w:r>
          </w:p>
        </w:tc>
      </w:tr>
      <w:tr w:rsidR="00D12223" w14:paraId="5BECEBB5"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9A115F"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94B9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2022MBGJ009</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5D72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广东东软学院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4B6082"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戚萍萍</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252BE"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大思政格局下民办高校商务外语人才培养模式探索与实践</w:t>
            </w:r>
          </w:p>
        </w:tc>
      </w:tr>
      <w:tr w:rsidR="00D12223" w14:paraId="03130482"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B70CC"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3071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2022MBGJ010</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F4EEE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广东东软学院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DE810"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柳仪</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3C86FA"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基于教师专业发展的民办应用型高校教师评价策略研究</w:t>
            </w:r>
          </w:p>
        </w:tc>
      </w:tr>
      <w:tr w:rsidR="00D12223" w14:paraId="139A3439"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0A0FC"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C880A"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2022MBGJ011</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BC3B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广东东软学院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FF0C6"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施冰芸</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4C158"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广东省民办高校学生“中国文化失语症”现象研究</w:t>
            </w:r>
          </w:p>
        </w:tc>
      </w:tr>
      <w:tr w:rsidR="00D12223" w14:paraId="02765E30"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22DB9"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0E2D5"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2022MBGJ012</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AC9F1"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广东东软学院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1DDB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钟海欣</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4AEE5"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校城融合背景下民办高校智库参与社会治理的路径研究</w:t>
            </w:r>
          </w:p>
        </w:tc>
      </w:tr>
      <w:tr w:rsidR="00D12223" w14:paraId="10D0AA69"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8067F"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DEC50"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2022MBGJ013</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F900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广东科技学院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63E81"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张亦文</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E8B767" w14:textId="77777777" w:rsidR="00D12223" w:rsidRDefault="00000000">
            <w:pPr>
              <w:widowControl/>
              <w:jc w:val="left"/>
              <w:textAlignment w:val="center"/>
              <w:rPr>
                <w:rFonts w:ascii="宋体" w:eastAsia="宋体" w:hAnsi="宋体" w:cs="宋体"/>
                <w:color w:val="000000"/>
                <w:sz w:val="20"/>
                <w:szCs w:val="20"/>
              </w:rPr>
            </w:pPr>
            <w:hyperlink r:id="rId7" w:tooltip="https://kns.cnki.net/kns8/Detail?sfield=fn&amp;QueryID=7&amp;CurRec=2&amp;recid=&amp;FileName=CGCS202202023&amp;DbName=CJFDLAST2022&amp;DbCode=CJFD&amp;yx=&amp;pr=&amp;URLID=" w:history="1">
              <w:r>
                <w:rPr>
                  <w:rStyle w:val="a6"/>
                  <w:rFonts w:ascii="宋体" w:eastAsia="宋体" w:hAnsi="宋体" w:cs="宋体" w:hint="eastAsia"/>
                  <w:color w:val="auto"/>
                  <w:sz w:val="20"/>
                  <w:szCs w:val="20"/>
                  <w:u w:val="none"/>
                </w:rPr>
                <w:t>产学互嵌模式下民办高校专业集群建设路径研究</w:t>
              </w:r>
            </w:hyperlink>
          </w:p>
        </w:tc>
      </w:tr>
      <w:tr w:rsidR="00D12223" w14:paraId="1EFEDD68"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263644"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序号</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FCAA6A"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课题编号</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28AF0"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所在单位</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8D847"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课题负责人</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DF362"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课题名称</w:t>
            </w:r>
          </w:p>
        </w:tc>
      </w:tr>
      <w:tr w:rsidR="00D12223" w14:paraId="3FCC0E01"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09A5A"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AE31AF"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2022MBGJ014</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4C8E2"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广东科技学院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B7CCA"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何思远</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F206E"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新时代提升广东省民办高校大学生思政教育获得感研究</w:t>
            </w:r>
          </w:p>
        </w:tc>
      </w:tr>
      <w:tr w:rsidR="00D12223" w14:paraId="09F090F9"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20186"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13E43"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2022MBGJ015</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FE35E1"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广东科技学院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65D2A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何员子</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F294F"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创新创业教育视野下民办高校学生就业能力提升策略研究</w:t>
            </w:r>
          </w:p>
        </w:tc>
      </w:tr>
      <w:tr w:rsidR="00D12223" w14:paraId="3AFC4630"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6542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16</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7691C"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2022MBGJ016</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82446"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广东科技学院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467BF"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陈晶晶</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BCEDD2"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OBE理念下民办高校经济与金融专业人才培养模式创新研究</w:t>
            </w:r>
          </w:p>
        </w:tc>
      </w:tr>
      <w:tr w:rsidR="00D12223" w14:paraId="72B34251"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D826A"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17</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11AB0"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2022MBGJ017</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9A74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广东科技学院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34ABA"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彭运香</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3685AF"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人职匹配理念下的广东省民办高校产教融合研究</w:t>
            </w:r>
          </w:p>
        </w:tc>
      </w:tr>
      <w:tr w:rsidR="00D12223" w14:paraId="08BF47B1"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42305"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18</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071EC"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2022MBGJ018</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F5549"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广东科技学院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7903C"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雷飞</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C528E9"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产教融合要素创新与政企校机制耦合下的市场机会选择——基于“广东省民办高校”的研究</w:t>
            </w:r>
          </w:p>
        </w:tc>
      </w:tr>
      <w:tr w:rsidR="00D12223" w14:paraId="3BE51658"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E0AFF"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19</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8AD3B"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2022MBGJ019</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A8D0B"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广东科技学院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1CC52"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卢敏</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5819DD"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多元共治视域下民办高校产教融合协同要素与路径研究</w:t>
            </w:r>
          </w:p>
        </w:tc>
      </w:tr>
      <w:tr w:rsidR="00D12223" w14:paraId="5991A00E"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6F1DA"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927C3"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2022MBGJ020</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074F70"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广东科技学院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7F4F3C"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阮兰兰</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0F7894"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东莞抗疫精神融入校园思政课研究——以广东科技学院为例</w:t>
            </w:r>
          </w:p>
        </w:tc>
      </w:tr>
      <w:tr w:rsidR="00D12223" w14:paraId="0EBD0F50"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60E3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21</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BC7EA"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2022MBGJ021</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152D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广东科技学院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4057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李卫国</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21CF1"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科教融合背景下民办高校“五育并举”的实践研究</w:t>
            </w:r>
          </w:p>
        </w:tc>
      </w:tr>
      <w:tr w:rsidR="00D12223" w14:paraId="0247939F"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127AA"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22</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B4FB0"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2022MBGJ022</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D1636"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广东科技学院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19F872"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赵中枢</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5D1DA9"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面向创新创业的民办高校计算机基础课程教学改革研究</w:t>
            </w:r>
          </w:p>
        </w:tc>
      </w:tr>
      <w:tr w:rsidR="00D12223" w14:paraId="7B21FAFE"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6E93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23</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DD480"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2022MBGJ023</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E041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广东科技学院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00580"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张牧歌</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FF835"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基于OBE理念的民办高校过程性考核改革的研究和实践</w:t>
            </w:r>
          </w:p>
        </w:tc>
      </w:tr>
      <w:tr w:rsidR="00D12223" w14:paraId="3B99FE3B"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6D822"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E85EA"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2022MBGJ024</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43BA0"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广东科技学院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025E5"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邓倩</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A8194"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AACSB认证驱动下民办高校财会课程过程性考核创新研究</w:t>
            </w:r>
          </w:p>
        </w:tc>
      </w:tr>
      <w:tr w:rsidR="00D12223" w14:paraId="063E4331"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AF3D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28D00D"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2022MBGJ025</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259DD"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广东科技学院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FE56A3"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孙宇</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EA5E0"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数字化背景下民办高校人才培养质量监控研究</w:t>
            </w:r>
          </w:p>
        </w:tc>
      </w:tr>
      <w:tr w:rsidR="00D12223" w14:paraId="1A59E5FA"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466D9"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26</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A6793"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2022MBGJ026</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45CF3"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广东科技学院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EBB5A"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贾媛</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C66D40"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民办高校教师队伍建设的困境与对策研究</w:t>
            </w:r>
          </w:p>
        </w:tc>
      </w:tr>
      <w:tr w:rsidR="00D12223" w14:paraId="3BB1EA0B"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D8645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27</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F14A2"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2022MBGJ027</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76450"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广东科技学院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04C9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莫洁玲</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383765"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产教融合背景下民办高校应用型教师教学能力发展研究</w:t>
            </w:r>
          </w:p>
        </w:tc>
      </w:tr>
      <w:tr w:rsidR="00D12223" w14:paraId="086398BA"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C855C"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28</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4DA55"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2022MBGJ028</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8ECC3"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广东科技学院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FAE4F"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向丽梅</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EF2C1"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民办高校跨境电子商务专业教师素养及培养体系研究</w:t>
            </w:r>
          </w:p>
        </w:tc>
      </w:tr>
      <w:tr w:rsidR="00D12223" w14:paraId="4E751765"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6DD67"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序号</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89D5A"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课题编号</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92C95"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所在单位</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03462"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课题负责人</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266ECB"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课题名称</w:t>
            </w:r>
          </w:p>
        </w:tc>
      </w:tr>
      <w:tr w:rsidR="00D12223" w14:paraId="610FCFB2"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F59A0"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29</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EE4A75"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2022MBGJ029</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B43B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广东科技学院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2B6AD"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曾丽英</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6DED7"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东莞文化引入本土民办高校视觉传达设计专业的教学研究</w:t>
            </w:r>
          </w:p>
        </w:tc>
      </w:tr>
      <w:tr w:rsidR="00D12223" w14:paraId="3D3C8FD7"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FC79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30</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8C339"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2022MBGJ030</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6339B"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广东科技学院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6893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黄晓青</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1BD162"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广东民办高校媒介形象呈现与提升策略研究</w:t>
            </w:r>
          </w:p>
        </w:tc>
      </w:tr>
      <w:tr w:rsidR="00D12223" w14:paraId="5825DDA4"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712E1"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31</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4C318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2022MBGJ031</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5088C"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广东科技学院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5AA0A"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袁丹</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930E8"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大学社会责任视域下广东民办高校品牌塑造研究</w:t>
            </w:r>
          </w:p>
        </w:tc>
      </w:tr>
      <w:tr w:rsidR="00D12223" w14:paraId="2BACF557"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4C09C"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32</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DE6F5"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2022MBGJ032</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20705"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广东科技学院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3FF4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吴秋玲</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4B33C"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广东民办高校体育品牌建设的价值与发展路径研究</w:t>
            </w:r>
          </w:p>
        </w:tc>
      </w:tr>
      <w:tr w:rsidR="00D12223" w14:paraId="20D7A4F7"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CDDB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33</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206BA"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2022MBGJ033</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8DA39"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广东科技学院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88F95"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熊双</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B8F68F"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广东省民办高校学校体育特色发展的个案研究</w:t>
            </w:r>
          </w:p>
        </w:tc>
      </w:tr>
      <w:tr w:rsidR="00D12223" w14:paraId="67A41759"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0697B"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34</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B4DA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2022MBGJ034</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FD650"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广东科技学院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DAD8D"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刘梦圆</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A7E90A"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乡村振兴背景下广东民办高校学生创业意愿与社会支持</w:t>
            </w:r>
          </w:p>
        </w:tc>
      </w:tr>
      <w:tr w:rsidR="00D12223" w14:paraId="11C5A840"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208EC5"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35</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1E27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2022MBGJ035</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9292D"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广东岭南职业技术学院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D5D31"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崔婷</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D0355"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民办高职“订单式、项目化”信息技术人才培养模式创新研究</w:t>
            </w:r>
          </w:p>
        </w:tc>
      </w:tr>
      <w:tr w:rsidR="00D12223" w14:paraId="3B3CFDB3"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466F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36</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E9852"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2022MBGJ036</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68163"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广东岭南职业技术学院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EC00F"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熊薇</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AB420"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民办高校应用型人才就业能力提升分析</w:t>
            </w:r>
          </w:p>
        </w:tc>
      </w:tr>
      <w:tr w:rsidR="00D12223" w14:paraId="4F92CC9E"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DA035"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37</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57E57A"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2022MBGJ037</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B331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广东岭南职业技术学院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B3D4EC"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赵春齐</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FC13DC"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基于“厂中校”实践模式下的教学创新改革研究</w:t>
            </w:r>
          </w:p>
        </w:tc>
      </w:tr>
      <w:tr w:rsidR="00D12223" w14:paraId="5F55D61C"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C0A03D"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38</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D03201"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2022MBGJ038</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1B352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广东培正学院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28BC2"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王博</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8579C"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民办高校大学生人生理想样态及影响因素研究</w:t>
            </w:r>
          </w:p>
        </w:tc>
      </w:tr>
      <w:tr w:rsidR="00D12223" w14:paraId="65B0A38D"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3D339"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39</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B36DA"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2022MBGJ039</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440DA"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广东培正学院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8EE7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邓奎伟</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21546D"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民办高校思想政治理论“金课”建设研究</w:t>
            </w:r>
          </w:p>
        </w:tc>
      </w:tr>
      <w:tr w:rsidR="00D12223" w14:paraId="37E06D70"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F3CC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40</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B6EFD"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2022MBGJ040</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DD1CD"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广东培正学院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682E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张鸿梅</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8EB87"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民办高校广告专业“自媒体”矩阵建设的实践教学改革与创新探究</w:t>
            </w:r>
          </w:p>
        </w:tc>
      </w:tr>
      <w:tr w:rsidR="00D12223" w14:paraId="72576C08"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341E5"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41</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3D0B9"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2022MBGJ041</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B1D93"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广东培正学院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6A7E7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田晓晴</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82BB47"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《翻译专业本科教学指南》指导下的民办高校翻译技术教学研究</w:t>
            </w:r>
          </w:p>
        </w:tc>
      </w:tr>
      <w:tr w:rsidR="00D12223" w14:paraId="77F2C559"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8558F"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42</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7231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2022MBGJ042</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A28E2"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广东培正学院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F45EF"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吴晓义</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AC7E1"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广东民办高校专创融合促进乡村振兴人才培养模式研究</w:t>
            </w:r>
          </w:p>
        </w:tc>
      </w:tr>
      <w:tr w:rsidR="00D12223" w14:paraId="338622D1"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9D38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43</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4C6F9"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2022MBGJ043</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20BA3"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广东亚视演艺职业学院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52322"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李铮</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1D507"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粤港澳背景下民办高校设计专业PSE培养模式的探索与研究——以室内设计专业为例</w:t>
            </w:r>
          </w:p>
        </w:tc>
      </w:tr>
      <w:tr w:rsidR="00D12223" w14:paraId="5C4B5570"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28B63"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序号</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A182C"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课题编号</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E4D90"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所在单位</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5277A2"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课题负责人</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C47864"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课题名称</w:t>
            </w:r>
          </w:p>
        </w:tc>
      </w:tr>
      <w:tr w:rsidR="00D12223" w14:paraId="504B0779"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9A3F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44</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44BB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2022MBGJ044</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9978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广州城市理工学院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6ED09"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郭兴成</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8047B0"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广东独立学院转设后应用型人才培养模式创新研究</w:t>
            </w:r>
          </w:p>
        </w:tc>
      </w:tr>
      <w:tr w:rsidR="00D12223" w14:paraId="55563563"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A934F"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45</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21C2F"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2022MBGJ045</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012C9"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广州城市理工学院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D8F72"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陈燕芬</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4EDDE"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民办高校应用型人才培养模式研究——以G学院会计专业为例</w:t>
            </w:r>
          </w:p>
        </w:tc>
      </w:tr>
      <w:tr w:rsidR="00D12223" w14:paraId="07FFFF22"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B0BB3"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46</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CD21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2022MBGJ046</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4335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广州东华职业学院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3586B"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张闯艳</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B3CE59"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混合式教学模式下大学英语教学评价改革研究</w:t>
            </w:r>
          </w:p>
        </w:tc>
      </w:tr>
      <w:tr w:rsidR="00D12223" w14:paraId="4A85D075"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B63D1"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47</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60FFB3"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2022MBGJ047</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E4766"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广州工商学院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60EF0"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曾诗健</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7E2D5"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后疫情时代下广东民办高校大学生积极社会心态的培育路径研究</w:t>
            </w:r>
          </w:p>
        </w:tc>
      </w:tr>
      <w:tr w:rsidR="00D12223" w14:paraId="07ACC020"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AF27F"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48</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5AB61"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2022MBGJ048</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C9FBF"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广州工商学院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957CC"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谢小军</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9A1F39"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新工科背景下基于数学建模活动为载体的应用型本科创新人才培养模式的研究与实践</w:t>
            </w:r>
          </w:p>
        </w:tc>
      </w:tr>
      <w:tr w:rsidR="00D12223" w14:paraId="02235795"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34D1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49</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221EF"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2022MBGJ049</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CA3D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广州工商学院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65D0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黄静</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6B9AEC"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虚拟现实技术赋能民办院校财经类课程的创新研究</w:t>
            </w:r>
          </w:p>
        </w:tc>
      </w:tr>
      <w:tr w:rsidR="00D12223" w14:paraId="2117D798"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3AEBF"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50</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3910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2022MBGJ050</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CFC0DD"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广州工商学院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6B9C6"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李润发</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B1B274"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广东省民办应用型本科院校专升本教育高质量发展研究</w:t>
            </w:r>
          </w:p>
        </w:tc>
      </w:tr>
      <w:tr w:rsidR="00D12223" w14:paraId="01DE2FFA"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6B8B0"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51</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802F1"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2022MBGJ051</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5AA91"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广州工商学院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D86C6"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黄璐</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8046A"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广东民办高校会计数智化人才评价模型构建与应用研究</w:t>
            </w:r>
          </w:p>
        </w:tc>
      </w:tr>
      <w:tr w:rsidR="00D12223" w14:paraId="55B45258"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338A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52</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1264C"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2022MBGJ052</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73B53"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广州工商学院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BD9F5"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王建军</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5810C"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民办高校教育专项资金绩效评价研究</w:t>
            </w:r>
          </w:p>
        </w:tc>
      </w:tr>
      <w:tr w:rsidR="00D12223" w14:paraId="366A49D8"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C7E186"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53</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23863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2022MBGJ053</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05F66"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广州工商学院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882D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黄登斌</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7FD064"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广东地区民办高校教师职业倦怠成因及对策研究</w:t>
            </w:r>
          </w:p>
        </w:tc>
      </w:tr>
      <w:tr w:rsidR="00D12223" w14:paraId="0AED3810"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FC22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54</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E928F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2022MBGJ054</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565CB"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广州工商学院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F0352"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曹明香</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1F542D"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生源危机下广东民办高校品牌资产构建路径研究——基于品牌五星资产模型视角</w:t>
            </w:r>
          </w:p>
        </w:tc>
      </w:tr>
      <w:tr w:rsidR="00D12223" w14:paraId="22F90265"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C7F00"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55</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F0FDE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2022MBGJ055</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8D3F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广州华立科技职业学院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8972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何楚婷</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B86A4"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地方红色基因融入广东民办高职院校“第二课堂”路径研究</w:t>
            </w:r>
          </w:p>
        </w:tc>
      </w:tr>
      <w:tr w:rsidR="00D12223" w14:paraId="69F4D20D"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D94BD"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56</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9FEB6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2022MBGJ056</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16B8F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广州华南商贸职业学院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2C0C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曾燕锋</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BA064"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新商科类民办高职院校大学生“课程思政”育人体系建设研究</w:t>
            </w:r>
          </w:p>
        </w:tc>
      </w:tr>
      <w:tr w:rsidR="00D12223" w14:paraId="7B5947F0"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B1FA0"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57</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693456"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2022MBGJ057</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9A0C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广州华商学院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9F4D2"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余家军</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E1DFF3"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广东民办本科高校创新创业教育体系建设研究</w:t>
            </w:r>
          </w:p>
        </w:tc>
      </w:tr>
      <w:tr w:rsidR="00D12223" w14:paraId="6C6E733E"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9BA26"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58</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D7164C"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2022MBGJ058</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F614A"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广州理工学院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41B2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黄国山</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5203F4"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广东省民办高校日语专业培养模式创新研究</w:t>
            </w:r>
          </w:p>
        </w:tc>
      </w:tr>
      <w:tr w:rsidR="00D12223" w14:paraId="7B51FFE8"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7F5ED"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序号</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26E39"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课题编号</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B547A"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所在单位</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4A902"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课题负责人</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747FA6"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课题名称</w:t>
            </w:r>
          </w:p>
        </w:tc>
      </w:tr>
      <w:tr w:rsidR="00D12223" w14:paraId="3D96A744"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36A1C"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59</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A6D5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2022MBGJ059</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19326"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广州理工学院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6EBE6"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喻娇</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A4C141"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广东地方传统音乐融入民办高校校园文化建设研究</w:t>
            </w:r>
          </w:p>
        </w:tc>
      </w:tr>
      <w:tr w:rsidR="00D12223" w14:paraId="3428CC64"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9BAE93"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60</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51333"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2022MBGJ060</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E3E2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广州理工学院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43C76"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钟健</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F034DC"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基于民办高校管理模式的“双创”工作智慧服务平台的建设研究</w:t>
            </w:r>
          </w:p>
        </w:tc>
      </w:tr>
      <w:tr w:rsidR="00D12223" w14:paraId="5C44F266"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5E475"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61</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A24F5"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2022MBGJ061</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B8BDA6"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广州理工学院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03955"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赖玉莲</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45C48"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乡村振兴战略下民办高校服务地方实践的路径研究</w:t>
            </w:r>
          </w:p>
        </w:tc>
      </w:tr>
      <w:tr w:rsidR="00D12223" w14:paraId="58E9916B"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40E65"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62</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91349"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2022MBGJ062</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57BC9"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广州南方学院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AA490"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韩露</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17FA48"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基于AGIL模型民办高校党建与乡村振兴的融合研究</w:t>
            </w:r>
          </w:p>
        </w:tc>
      </w:tr>
      <w:tr w:rsidR="00D12223" w14:paraId="03A476AF"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7C99FA"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63</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BD913"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2022MBGJ063</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36BCB"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广州南方学院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BB25EF"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张锦标</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AB1DD7"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基于情感需求的民办高校精准思政实践路径研究</w:t>
            </w:r>
          </w:p>
        </w:tc>
      </w:tr>
      <w:tr w:rsidR="00D12223" w14:paraId="69497F1E"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9C62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64</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4ABC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2022MBGJ064</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FB030"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广州南方学院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6FDAC"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杨萍</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AEA053"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媒介融合背景下民办高校新闻评论课程教学创新路径研究</w:t>
            </w:r>
          </w:p>
        </w:tc>
      </w:tr>
      <w:tr w:rsidR="00D12223" w14:paraId="7054B096"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EA28D"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65</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ED05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2022MBGJ065</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B80A3"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广州南方学院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29752"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张保磊</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142824"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新时代征程，以体育新人——广东民办高校体育课程思政与素养融合育人模式与践行</w:t>
            </w:r>
          </w:p>
        </w:tc>
      </w:tr>
      <w:tr w:rsidR="00D12223" w14:paraId="5EF5075E"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75D9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66</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DF6F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2022MBGJ066</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859D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广州南方学院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B6D7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马学文</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E33856"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广东省民办高校新财经人才“1234”培养机制研究</w:t>
            </w:r>
          </w:p>
        </w:tc>
      </w:tr>
      <w:tr w:rsidR="00D12223" w14:paraId="4D8F6B70"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88FF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67</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7E95F"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2022MBGJ067</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0B80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广州商学院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1C30F"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冼先品</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4E55A"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国贸专业产教融合的构建路径研究——以广州商学院为例</w:t>
            </w:r>
          </w:p>
        </w:tc>
      </w:tr>
      <w:tr w:rsidR="00D12223" w14:paraId="16048499"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1974F1"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68</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7FF70"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2022MBGJ068</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F6D3D"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广州涉外经济职业技术学院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E9940"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林青</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9E8CA"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三教改革背景下，专业群平台课混合式教学实施路径研究</w:t>
            </w:r>
          </w:p>
        </w:tc>
      </w:tr>
      <w:tr w:rsidR="00D12223" w14:paraId="32E8EC44"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F94C2"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69</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AB2A3"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2022MBGJ069</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40116"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广州松田职业学院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A9C15"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吴海娟</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32AB79"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基于课堂大数据分析的教学诊改与评价研究</w:t>
            </w:r>
          </w:p>
        </w:tc>
      </w:tr>
      <w:tr w:rsidR="00D12223" w14:paraId="6DA3CD2B"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CC61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70</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8635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2022MBGJ070</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77AD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广州新华学院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03E1A"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毕立华</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AB6DE6"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应用型民办高校智能财会人才培养模式研究</w:t>
            </w:r>
          </w:p>
        </w:tc>
      </w:tr>
      <w:tr w:rsidR="00D12223" w14:paraId="50261FD1"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2E8CD"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71</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9D5D1"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2022MBGJ071</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C887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广州新华学院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D343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蔡莉莉</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1A3312"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四新背景下民办高校“医工融合”创新型人才培养模式研究</w:t>
            </w:r>
          </w:p>
        </w:tc>
      </w:tr>
      <w:tr w:rsidR="00D12223" w14:paraId="1C23565C"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F6C71"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72</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100AE2"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2022MBGJ072</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E662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广州新华学院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1CF2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冯椿</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148446"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“课程思政”专业教师与思政教师协同育人研究——基于广东省民办高校调查与分析</w:t>
            </w:r>
          </w:p>
        </w:tc>
      </w:tr>
      <w:tr w:rsidR="00D12223" w14:paraId="574588D8"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4D49A"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73</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CCED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2022MBGJ073</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8F9F6"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广州新华学院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A07A5"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史可可</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53FE09"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民办高校教师专业发展的影响机制研究：组织支持的视角</w:t>
            </w:r>
          </w:p>
        </w:tc>
      </w:tr>
      <w:tr w:rsidR="00D12223" w14:paraId="56943C6A"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F9DB0"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序号</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12CE7"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课题编号</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443BB"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所在单位</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371E0D"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课题负责人</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88647"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课题名称</w:t>
            </w:r>
          </w:p>
        </w:tc>
      </w:tr>
      <w:tr w:rsidR="00D12223" w14:paraId="41775092"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E9AA2"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74</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EF072"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2022MBGJ074</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B3D1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广州新华学院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2DED1"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聂静虹</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CAB464"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全媒体时代红色文化融入民办高校校园文化建设研究</w:t>
            </w:r>
          </w:p>
        </w:tc>
      </w:tr>
      <w:tr w:rsidR="00D12223" w14:paraId="3E1A9A71"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5ACEC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75</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B64AF"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2022MBGJ075</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276D9"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广州新华学院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6448A"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陈新娟</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03694"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民办高校支持农村数字金融建设的实践研究</w:t>
            </w:r>
          </w:p>
        </w:tc>
      </w:tr>
      <w:tr w:rsidR="00D12223" w14:paraId="4D6E4D5E"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3B041"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76</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D60D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2022MBGJ076</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9E16B"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广州应用科技学院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98543"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刘培栋</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7A2871"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民办本科商务英语专业教师发展路径研究</w:t>
            </w:r>
          </w:p>
        </w:tc>
      </w:tr>
      <w:tr w:rsidR="00D12223" w14:paraId="7AF6E753"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AF295"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77</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8F30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2022MBGJ077</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703686"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华南农业大学珠江学院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88A7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王瑞鹤</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15FF7B"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公办高校与民办高校党建引领“组团式”帮扶路径研究</w:t>
            </w:r>
          </w:p>
        </w:tc>
      </w:tr>
      <w:tr w:rsidR="00D12223" w14:paraId="15EEDEA0"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54C9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78</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83D5B"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2022MBGJ078</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6B9A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广东白云学院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E181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马菁菁</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ECF98"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教育数字化转型背景下民办高校高质量发展的路径选择</w:t>
            </w:r>
          </w:p>
        </w:tc>
      </w:tr>
      <w:tr w:rsidR="00D12223" w14:paraId="46AAC37D"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F62E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79</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1723D"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2022MBGJ079</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8447C"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广东白云学院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816F9"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佟伯承</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624B3"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创新驱动发展战略下民办高校体制改革和机制创新研究</w:t>
            </w:r>
          </w:p>
        </w:tc>
      </w:tr>
      <w:tr w:rsidR="00D12223" w14:paraId="3E664313"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A71CC"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80</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8C5B5A"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2022MBGJ080</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99670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广东白云学院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287DB"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余洪福</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2B068"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新媒体背景下民办高校网络舆情的生成机理与治理策略研究——以广东省G高校为例</w:t>
            </w:r>
          </w:p>
        </w:tc>
      </w:tr>
      <w:tr w:rsidR="00D12223" w14:paraId="253C93ED"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27F9B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81</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A36B5F"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2022MBGJ081</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AF473"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广东白云学院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0D0EC"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吴铁雄</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3BABD9"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数字经济专业导论课程思政改革探索与实践——以广东白云学院为例</w:t>
            </w:r>
          </w:p>
        </w:tc>
      </w:tr>
      <w:tr w:rsidR="00D12223" w14:paraId="1A45FBEB"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3BAC0"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82</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00E73"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2022MBGJ082</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D71C2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广东白云学院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0F8B6"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张燕</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323C73"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民办高校工商管理类专业“三创”融合人才培养模式研究</w:t>
            </w:r>
          </w:p>
        </w:tc>
      </w:tr>
      <w:tr w:rsidR="00D12223" w14:paraId="647FE6E3"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E2EA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83</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1878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2022MBGJ083</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A0ADB"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广东白云学院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F5D36"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黄虹霞</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79870"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民办高校大学生核心素养的培育研究</w:t>
            </w:r>
          </w:p>
        </w:tc>
      </w:tr>
      <w:tr w:rsidR="00D12223" w14:paraId="4E5FE8EA"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98961"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84</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A80BD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2022MBGJ084</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AA9B2"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广东白云学院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ACD7CD"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邓晓正</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DF878C"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数字化时代民办高校女生人文素养提升路径研究</w:t>
            </w:r>
          </w:p>
        </w:tc>
      </w:tr>
      <w:tr w:rsidR="00D12223" w14:paraId="37E8A3CD"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737CB"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85</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437F9"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2022MBGJ085</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3FB0A"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广东白云学院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26F3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郭晓琳</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31A737"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数字人文与新文科背景下民办高校翻译人才培养路径研究</w:t>
            </w:r>
          </w:p>
        </w:tc>
      </w:tr>
      <w:tr w:rsidR="00D12223" w14:paraId="46B03F03"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0B980"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86</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394F06"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2022MBGJ086</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965D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广东白云学院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46F40"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贺雪荣</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8CC00B"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应用型民办本科院校教学质量评价体系构建研究</w:t>
            </w:r>
          </w:p>
        </w:tc>
      </w:tr>
      <w:tr w:rsidR="00D12223" w14:paraId="35C982ED"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E27D5"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87</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B1D1B"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2022MBGJ087</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9838B2"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广东白云学院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4051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刘琴</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0429EF"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应用型民办本科高校外语教师评价素养及其考核机制研究</w:t>
            </w:r>
          </w:p>
        </w:tc>
      </w:tr>
      <w:tr w:rsidR="00D12223" w14:paraId="10C69598"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0946B"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88</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A89F1"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2022MBGJ088</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A977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广东白云学院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20F9C1"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李春平</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1A5F4A"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基于大数据分析的超星平台线上课程教学质量评价研究——以广东白云学院为例</w:t>
            </w:r>
          </w:p>
        </w:tc>
      </w:tr>
      <w:tr w:rsidR="00D12223" w14:paraId="68FAEB20"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5976D"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序号</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EF4B5"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课题编号</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EA1DE"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所在单位</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47A86"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课题负责人</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5D14FD" w14:textId="77777777" w:rsidR="00D12223" w:rsidRDefault="00000000">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课题名称</w:t>
            </w:r>
          </w:p>
        </w:tc>
      </w:tr>
      <w:tr w:rsidR="00D12223" w14:paraId="43BE1EF0"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B13D2"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89</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46065"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2022MBGJ089</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2B4F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广东白云学院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5635D"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叶裴雷</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1B589"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人工智能背景下民办高校教师教学能力提升路径研究</w:t>
            </w:r>
          </w:p>
        </w:tc>
      </w:tr>
      <w:tr w:rsidR="00D12223" w14:paraId="019661FE"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B5B2AE"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90</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4A0B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2022MBGJ090</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66EB6"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广东白云学院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321AF9"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方玲</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41C102"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民办高校专业教师团队建设研究与实践——以风景园林专业为例</w:t>
            </w:r>
          </w:p>
        </w:tc>
      </w:tr>
      <w:tr w:rsidR="00D12223" w14:paraId="07DBFDA7"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39EEEC"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91</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8F7634"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2022MBGJ091</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67D25"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广东白云学院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EBD43D"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薛江炜</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9F795"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自组织拉音响唱歌校园文化研究——以广东某民办高校师生共同参与“唱着玩”为起点</w:t>
            </w:r>
          </w:p>
        </w:tc>
      </w:tr>
      <w:tr w:rsidR="00D12223" w14:paraId="78D052F6"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EA013"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92</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FB96A"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2022MBGJ092</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9006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广东白云学院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17B03"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荣丹</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8E4DB"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乡村振兴视域下民办高校服务岭南村落文化发展路径——以中山大布村为例</w:t>
            </w:r>
          </w:p>
        </w:tc>
      </w:tr>
      <w:tr w:rsidR="00D12223" w14:paraId="32CDD419"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BAA6B"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93</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5AFCD"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2022MBGJ093</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618B9"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广东白云学院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F5576"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伊融</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2E6B0D"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民办高校学前艺术教育对乡村幼儿素养提升的应用研究</w:t>
            </w:r>
          </w:p>
        </w:tc>
      </w:tr>
      <w:tr w:rsidR="00D12223" w14:paraId="283E46C3" w14:textId="77777777">
        <w:trPr>
          <w:trHeight w:val="499"/>
          <w:tblHeader/>
        </w:trPr>
        <w:tc>
          <w:tcPr>
            <w:tcW w:w="2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E9F06"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94</w:t>
            </w:r>
          </w:p>
        </w:tc>
        <w:tc>
          <w:tcPr>
            <w:tcW w:w="50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757C8"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2022MBGJ094</w:t>
            </w:r>
          </w:p>
        </w:tc>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F931D"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广东白云学院</w:t>
            </w:r>
          </w:p>
        </w:tc>
        <w:tc>
          <w:tcPr>
            <w:tcW w:w="4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B71F7" w14:textId="77777777" w:rsidR="00D12223" w:rsidRDefault="00000000">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韩建伟</w:t>
            </w:r>
          </w:p>
        </w:tc>
        <w:tc>
          <w:tcPr>
            <w:tcW w:w="29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BFCD93" w14:textId="77777777" w:rsidR="00D12223" w:rsidRDefault="00000000">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基于中华优秀传统文化传承发展的《人文摄影》课程教学模式改革与研究——以广东白云学院为例</w:t>
            </w:r>
          </w:p>
        </w:tc>
      </w:tr>
    </w:tbl>
    <w:p w14:paraId="782D6FD1" w14:textId="77777777" w:rsidR="00D12223" w:rsidRDefault="00D12223"/>
    <w:sectPr w:rsidR="00D12223">
      <w:footerReference w:type="default" r:id="rId8"/>
      <w:pgSz w:w="16838" w:h="11906" w:orient="landscape"/>
      <w:pgMar w:top="1800" w:right="1440" w:bottom="1800" w:left="144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243F2" w14:textId="77777777" w:rsidR="00E76E93" w:rsidRDefault="00E76E93">
      <w:r>
        <w:separator/>
      </w:r>
    </w:p>
  </w:endnote>
  <w:endnote w:type="continuationSeparator" w:id="0">
    <w:p w14:paraId="785E8894" w14:textId="77777777" w:rsidR="00E76E93" w:rsidRDefault="00E7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C2F18" w14:textId="77777777" w:rsidR="00D12223" w:rsidRDefault="00000000">
    <w:pPr>
      <w:pStyle w:val="a3"/>
    </w:pPr>
    <w:r>
      <w:rPr>
        <w:noProof/>
      </w:rPr>
      <mc:AlternateContent>
        <mc:Choice Requires="wps">
          <w:drawing>
            <wp:anchor distT="0" distB="0" distL="114300" distR="114300" simplePos="0" relativeHeight="251660288" behindDoc="0" locked="0" layoutInCell="1" allowOverlap="1" wp14:anchorId="53A073EB" wp14:editId="4D8BEEE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C7597" w14:textId="77777777" w:rsidR="00D12223" w:rsidRDefault="00000000">
                          <w:pPr>
                            <w:pStyle w:val="a3"/>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rPr>
                              <w:rFonts w:hint="eastAsia"/>
                            </w:rPr>
                            <w:t>7</w:t>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A073EB" id="_x0000_t202" coordsize="21600,21600" o:spt="202" path="m,l,21600r21600,l21600,xe">
              <v:stroke joinstyle="miter"/>
              <v:path gradientshapeok="t" o:connecttype="rect"/>
            </v:shapetype>
            <v:shape id="文本框 1"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D9C7597" w14:textId="77777777" w:rsidR="00D12223" w:rsidRDefault="00000000">
                    <w:pPr>
                      <w:pStyle w:val="a3"/>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rPr>
                        <w:rFonts w:hint="eastAsia"/>
                      </w:rPr>
                      <w:t>7</w:t>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7A152" w14:textId="77777777" w:rsidR="00E76E93" w:rsidRDefault="00E76E93">
      <w:r>
        <w:separator/>
      </w:r>
    </w:p>
  </w:footnote>
  <w:footnote w:type="continuationSeparator" w:id="0">
    <w:p w14:paraId="2E00FF8A" w14:textId="77777777" w:rsidR="00E76E93" w:rsidRDefault="00E76E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AwMDc2ZWQzZDJlYjEzZjAzMjYwYTAwODM1MmI3ZjAifQ=="/>
  </w:docVars>
  <w:rsids>
    <w:rsidRoot w:val="00D12223"/>
    <w:rsid w:val="006042FA"/>
    <w:rsid w:val="00954ABF"/>
    <w:rsid w:val="00D12223"/>
    <w:rsid w:val="00E76E93"/>
    <w:rsid w:val="00F12EDF"/>
    <w:rsid w:val="271D1F93"/>
    <w:rsid w:val="63AC25A9"/>
    <w:rsid w:val="69D96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C254B21"/>
  <w15:docId w15:val="{F5443B2C-9F91-4E36-8049-910F9A69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Hyperlink"/>
    <w:basedOn w:val="a0"/>
    <w:qFormat/>
    <w:rPr>
      <w:color w:val="0000FF"/>
      <w:u w:val="single"/>
    </w:rPr>
  </w:style>
  <w:style w:type="paragraph" w:styleId="a7">
    <w:name w:val="List Paragraph"/>
    <w:basedOn w:val="a"/>
    <w:uiPriority w:val="99"/>
    <w:rsid w:val="00954AB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ns.cnki.net/kns8/Detail?sfield=fn&amp;QueryID=7&amp;CurRec=2&amp;recid=&amp;FileName=CGCS202202023&amp;DbName=CJFDLAST2022&amp;DbCode=CJFD&amp;yx=&amp;pr=&amp;URL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905</Words>
  <Characters>5159</Characters>
  <Application>Microsoft Office Word</Application>
  <DocSecurity>0</DocSecurity>
  <Lines>42</Lines>
  <Paragraphs>12</Paragraphs>
  <ScaleCrop>false</ScaleCrop>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tan yi</cp:lastModifiedBy>
  <cp:revision>3</cp:revision>
  <cp:lastPrinted>2023-03-08T06:14:00Z</cp:lastPrinted>
  <dcterms:created xsi:type="dcterms:W3CDTF">2023-03-07T06:51:00Z</dcterms:created>
  <dcterms:modified xsi:type="dcterms:W3CDTF">2023-03-08T06:26:00Z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400AE9EA6F0D4086A2B6BC0B876BB867</vt:lpwstr>
  </property>
</Properties>
</file>