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8" w:line="201" w:lineRule="auto"/>
        <w:jc w:val="lef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</w:p>
    <w:p>
      <w:pPr>
        <w:pStyle w:val="2"/>
        <w:spacing w:before="278" w:line="201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>
      <w:pPr>
        <w:pStyle w:val="2"/>
        <w:spacing w:before="278" w:line="201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广东省高等教育学会粤港澳高等财经教育专业委员会首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届“同课异构”教学竞赛评分标准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562"/>
        <w:jc w:val="both"/>
        <w:textAlignment w:val="baseline"/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562"/>
        <w:jc w:val="both"/>
        <w:textAlignment w:val="baseline"/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  <w:t>大赛内容包括三部分</w:t>
      </w:r>
      <w:r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562"/>
        <w:jc w:val="both"/>
        <w:textAlignment w:val="baseline"/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  <w:t>一是</w:t>
      </w:r>
      <w:r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  <w:t>教学设计报告</w:t>
      </w:r>
      <w:r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  <w:t>，计</w:t>
      </w:r>
      <w:r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  <w:t>40分</w:t>
      </w:r>
      <w:r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562"/>
        <w:jc w:val="both"/>
        <w:textAlignment w:val="baseline"/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  <w:t>二是</w:t>
      </w:r>
      <w:r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  <w:t>教学设计汇报</w:t>
      </w:r>
      <w:r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  <w:t>，计30</w:t>
      </w:r>
      <w:r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  <w:t>分</w:t>
      </w:r>
      <w:r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562"/>
        <w:jc w:val="both"/>
        <w:textAlignment w:val="baseline"/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  <w:t>三是</w:t>
      </w:r>
      <w:r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  <w:t>现场教学</w:t>
      </w:r>
      <w:r>
        <w:rPr>
          <w:rFonts w:hint="eastAsia" w:cs="华文仿宋"/>
          <w:b w:val="0"/>
          <w:bCs w:val="0"/>
          <w:spacing w:val="-6"/>
          <w:sz w:val="28"/>
          <w:szCs w:val="28"/>
          <w:lang w:val="en-US" w:eastAsia="zh-CN"/>
        </w:rPr>
        <w:t>，记30分</w:t>
      </w:r>
      <w:r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  <w:t>。</w:t>
      </w:r>
    </w:p>
    <w:p>
      <w:pPr>
        <w:pStyle w:val="2"/>
        <w:spacing w:before="278" w:line="201" w:lineRule="auto"/>
        <w:ind w:left="0" w:firstLine="556" w:firstLineChars="200"/>
        <w:rPr>
          <w:spacing w:val="-1"/>
        </w:rPr>
      </w:pPr>
    </w:p>
    <w:p>
      <w:pPr>
        <w:pStyle w:val="2"/>
        <w:spacing w:before="278" w:line="201" w:lineRule="auto"/>
        <w:jc w:val="center"/>
      </w:pPr>
      <w:r>
        <w:rPr>
          <w:rFonts w:hint="eastAsia"/>
          <w:spacing w:val="-1"/>
          <w:lang w:eastAsia="zh-CN"/>
        </w:rPr>
        <w:t>表</w:t>
      </w:r>
      <w:r>
        <w:rPr>
          <w:rFonts w:hint="eastAsia"/>
          <w:spacing w:val="-1"/>
          <w:lang w:val="en-US" w:eastAsia="zh-CN"/>
        </w:rPr>
        <w:t>1：</w:t>
      </w:r>
      <w:r>
        <w:rPr>
          <w:spacing w:val="-1"/>
        </w:rPr>
        <w:t>教学设计报告评分标准</w:t>
      </w:r>
    </w:p>
    <w:tbl>
      <w:tblPr>
        <w:tblStyle w:val="7"/>
        <w:tblpPr w:leftFromText="180" w:rightFromText="180" w:vertAnchor="text" w:horzAnchor="page" w:tblpX="1672" w:tblpY="490"/>
        <w:tblOverlap w:val="never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145" w:type="dxa"/>
            <w:tcBorders>
              <w:tl2br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  <w:t>评价维度</w:t>
            </w:r>
          </w:p>
        </w:tc>
        <w:tc>
          <w:tcPr>
            <w:tcW w:w="6390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" w:hRule="atLeast"/>
        </w:trPr>
        <w:tc>
          <w:tcPr>
            <w:tcW w:w="21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有明确的问题导向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15%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3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left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有明显的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特色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20%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3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left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把“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智能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新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财经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建设要求贯穿到教学过程中，对教学目标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内容、方法、活动、评价等教学过程各环节分析全面、透彻，能够凸显教学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特色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21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体现课程思政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3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left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能够准确把握课程思政的内涵建设要求，聚焦需要解决的课程思政教学问题，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能够寓价值观引导于知识传授和能力培养之中，帮助学生塑造正确的世界观、人生观、价值观。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注重应用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人工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智能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技术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3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3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left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建有丰富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优质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数字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化教学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资源，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把握新时代下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的学情特征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，充分利用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人工智能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技术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实施教学活动与考核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14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注重成果辐射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15%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3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left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能够对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成效开展基于证据的有效分析与总结，形成具有较强辐射推广价值的教学方法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与教学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模式。</w:t>
            </w:r>
          </w:p>
        </w:tc>
      </w:tr>
    </w:tbl>
    <w:p>
      <w:pPr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br w:type="page"/>
      </w:r>
    </w:p>
    <w:p>
      <w:pPr>
        <w:pStyle w:val="2"/>
        <w:spacing w:before="186" w:line="201" w:lineRule="auto"/>
        <w:jc w:val="center"/>
      </w:pPr>
      <w:r>
        <w:rPr>
          <w:rFonts w:hint="eastAsia"/>
          <w:spacing w:val="-1"/>
          <w:lang w:eastAsia="zh-CN"/>
        </w:rPr>
        <w:t>表</w:t>
      </w:r>
      <w:r>
        <w:rPr>
          <w:rFonts w:hint="eastAsia"/>
          <w:spacing w:val="-1"/>
          <w:lang w:val="en-US" w:eastAsia="zh-CN"/>
        </w:rPr>
        <w:t>2：</w:t>
      </w:r>
      <w:r>
        <w:rPr>
          <w:spacing w:val="11"/>
        </w:rPr>
        <w:t>教学设计汇报评分标准</w:t>
      </w:r>
    </w:p>
    <w:tbl>
      <w:tblPr>
        <w:tblStyle w:val="7"/>
        <w:tblpPr w:leftFromText="180" w:rightFromText="180" w:vertAnchor="text" w:horzAnchor="page" w:tblpX="1754" w:tblpY="498"/>
        <w:tblOverlap w:val="never"/>
        <w:tblW w:w="8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6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54" w:type="dxa"/>
            <w:tcBorders>
              <w:tl2br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  <w:t>评价维度</w:t>
            </w: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5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理念与目标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10%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课程设计体现“以学生发展为中心”的理念，教学目标符合学科特点和学生实际；推进“新文科”建设，带动教学模式创新；体现对知识、能力与思维等方面的要求。教学目标清楚、具体，易于理解，便于实施，行为动词使用正确，阐述规范。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将价值塑造、知识传授和能力培养融为一体，充分发挥课程育人作用。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突出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人工智能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技术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5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内容分析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15%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5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5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学情分析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5%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5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课程思政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符合学生思想发展和认知特点，体现课程育人理念和目标，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将思想政治教育与专业教育有机融合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课程自身蕴含的思政教育资源挖掘深入准确，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5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过程与方法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3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5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能创造性地使用教材和数字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化教学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资源，内容充实精要，结构合理，过渡自然，理论联系实际，启发学生思考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5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能根据课程特点，用创新的教学策略、方法、技术解决课堂中存在的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各种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5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合理选择与应用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人工智能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技术，创设教学环境，关注师生、生生互动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强调自主、合作、探究学习。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5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考评与反馈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5%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65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65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设计创新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15%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659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jc w:val="center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br w:type="page"/>
      </w:r>
    </w:p>
    <w:p>
      <w:pPr>
        <w:jc w:val="center"/>
        <w:rPr>
          <w:rFonts w:hint="eastAsia"/>
          <w:spacing w:val="-1"/>
          <w:lang w:eastAsia="zh-CN"/>
        </w:rPr>
      </w:pPr>
    </w:p>
    <w:p>
      <w:pPr>
        <w:jc w:val="center"/>
        <w:rPr>
          <w:spacing w:val="10"/>
          <w:u w:val="none"/>
        </w:rPr>
      </w:pPr>
      <w:r>
        <w:rPr>
          <w:rFonts w:hint="eastAsia" w:ascii="华文仿宋" w:hAnsi="华文仿宋" w:eastAsia="华文仿宋" w:cs="华文仿宋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表3：现场教学评分标准</w:t>
      </w:r>
    </w:p>
    <w:p>
      <w:pPr>
        <w:pStyle w:val="2"/>
        <w:spacing w:before="187" w:line="189" w:lineRule="auto"/>
        <w:jc w:val="center"/>
        <w:rPr>
          <w:spacing w:val="10"/>
        </w:rPr>
      </w:pPr>
    </w:p>
    <w:tbl>
      <w:tblPr>
        <w:tblStyle w:val="7"/>
        <w:tblW w:w="833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6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822" w:type="dxa"/>
            <w:tcBorders>
              <w:tl2br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  <w:t>评价维度</w:t>
            </w:r>
          </w:p>
        </w:tc>
        <w:tc>
          <w:tcPr>
            <w:tcW w:w="6505" w:type="dxa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82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教学内容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40%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贯彻立德树人的具体要求，能反映或联系学科发展新思想、新概念、新成果，能依据人才培养目标合理设置重难点，条理清楚，循序渐进，突出学科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交叉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和数字素养。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82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教学组织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40%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教学过程突出以学生为中心，安排合理，方法运用灵活、恰当，启发性强，能有效调动学生思维和学习积极性，熟练、有效地运用数字技术。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2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语言教态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10%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65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语言清晰、流畅、准确、生动、发音标准，语速节奏恰当。肢体语言运用合理、恰当，教态自然大方。教态仪表自然得体，精神饱满，亲和力强。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82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教学特色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jc w:val="center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10%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0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4"/>
                <w:szCs w:val="24"/>
              </w:rPr>
              <w:t>教学理念先进、风格突出、感染力强、教学效果好。</w:t>
            </w:r>
          </w:p>
        </w:tc>
      </w:tr>
    </w:tbl>
    <w:p/>
    <w:sectPr>
      <w:footerReference r:id="rId5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MjE5MjVlNmQ0NzI2NjI5YTNhYjBjMTBjNTY1ZGIifQ=="/>
  </w:docVars>
  <w:rsids>
    <w:rsidRoot w:val="6F797645"/>
    <w:rsid w:val="1DEA6A20"/>
    <w:rsid w:val="220208C5"/>
    <w:rsid w:val="22DA6597"/>
    <w:rsid w:val="292F13C3"/>
    <w:rsid w:val="29641065"/>
    <w:rsid w:val="39F64433"/>
    <w:rsid w:val="45F2798B"/>
    <w:rsid w:val="55880B8E"/>
    <w:rsid w:val="5A2F479D"/>
    <w:rsid w:val="61B44707"/>
    <w:rsid w:val="66144F79"/>
    <w:rsid w:val="67985F95"/>
    <w:rsid w:val="6F7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华文仿宋" w:hAnsi="华文仿宋" w:eastAsia="华文仿宋" w:cs="华文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1385</Words>
  <Characters>1442</Characters>
  <Lines>0</Lines>
  <Paragraphs>0</Paragraphs>
  <TotalTime>4</TotalTime>
  <ScaleCrop>false</ScaleCrop>
  <LinksUpToDate>false</LinksUpToDate>
  <CharactersWithSpaces>1442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2025-04-23T02:47:00Z</dcterms:created>
  <dc:creator>阎超</dc:creator>
  <cp:lastModifiedBy>杨新(20081578)</cp:lastModifiedBy>
  <cp:lastPrinted>2025-06-06T06:23:00Z</cp:lastPrinted>
  <dcterms:modified xsi:type="dcterms:W3CDTF">2025-06-09T07:58:11Z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548AE435A8EC49D395F306724A0BB27D_13</vt:lpwstr>
  </property>
  <property fmtid="{D5CDD505-2E9C-101B-9397-08002B2CF9AE}" pid="4" name="KSOTemplateDocerSaveRecord">
    <vt:lpwstr>eyJoZGlkIjoiN2RhOWM1OGFhYWFmZjkzZThlMDE1NGYxNWVlZDM2ODEiLCJ1c2VySWQiOiIxNTA1Mzk0NDM5In0=</vt:lpwstr>
  </property>
</Properties>
</file>